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83185" cy="6381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85" cy="638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838325" cy="654623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25179" l="15734" r="12587" t="22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5462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0" w:before="0" w:line="240" w:lineRule="auto"/>
        <w:jc w:val="center"/>
        <w:rPr>
          <w:b w:val="1"/>
          <w:sz w:val="34"/>
          <w:szCs w:val="34"/>
        </w:rPr>
      </w:pPr>
      <w:bookmarkStart w:colFirst="0" w:colLast="0" w:name="_m00qu5q85me3" w:id="0"/>
      <w:bookmarkEnd w:id="0"/>
      <w:r w:rsidDel="00000000" w:rsidR="00000000" w:rsidRPr="00000000">
        <w:rPr>
          <w:b w:val="1"/>
          <w:i w:val="1"/>
          <w:sz w:val="34"/>
          <w:szCs w:val="34"/>
          <w:rtl w:val="0"/>
        </w:rPr>
        <w:t xml:space="preserve">Periodistas sin acoso</w:t>
      </w:r>
      <w:r w:rsidDel="00000000" w:rsidR="00000000" w:rsidRPr="00000000">
        <w:rPr>
          <w:b w:val="1"/>
          <w:sz w:val="34"/>
          <w:szCs w:val="34"/>
          <w:rtl w:val="0"/>
        </w:rPr>
        <w:t xml:space="preserve">: violencias machistas contra periodistas y comunicadoras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spacing w:after="0" w:before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bookmarkStart w:colFirst="0" w:colLast="0" w:name="_lmg6tc89hm2o" w:id="1"/>
      <w:bookmarkEnd w:id="1"/>
      <w:r w:rsidDel="00000000" w:rsidR="00000000" w:rsidRPr="00000000">
        <w:rPr>
          <w:rFonts w:ascii="Georgia" w:cs="Georgia" w:eastAsia="Georgia" w:hAnsi="Georgia"/>
          <w:b w:val="1"/>
          <w:i w:val="1"/>
          <w:rtl w:val="0"/>
        </w:rPr>
        <w:t xml:space="preserve">Compendio normativo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Lines w:val="1"/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n el marco normativo internacional tendremos como referentes la Convención Interamericana para prevenir, sancionar y erradicar la violencia contra la mujer  (Convención de Belém Do Pará) en cuyo artículo 2 incluye la violencia  física, sexual y psicológica. Destaca la violación, abuso sexual, tortura, trata de personas, prostitución forzada, secuestro y acoso sexual e incluye la responsabilidad del Estado en caso que fuese perpetrada o tolerada por éste o sus agentes. Deja claro que puede ser cualquier tipo de relación y en cualquier lugar sea público, privado o de trabajo.</w:t>
      </w:r>
    </w:p>
    <w:p w:rsidR="00000000" w:rsidDel="00000000" w:rsidP="00000000" w:rsidRDefault="00000000" w:rsidRPr="00000000" w14:paraId="0000000A">
      <w:pPr>
        <w:keepLines w:val="1"/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t xml:space="preserve">Así mismo La Convención sobre la Eliminación de Todas las Formas de Discriminación contra la Mujer (CEDAW, en inglés) y la La Plataforma de Acción de Beijing. Ésta reconoce también de una manera explícita el acoso sexual y convoca a todos los actores al cumplimiento de las leyes y a la elaboración de estrategias para su prevención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Marco Nacional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Lines w:val="1"/>
        <w:spacing w:after="0" w:before="0" w:line="240" w:lineRule="auto"/>
        <w:jc w:val="both"/>
        <w:rPr>
          <w:color w:val="222222"/>
          <w:highlight w:val="white"/>
        </w:rPr>
      </w:pPr>
      <w:r w:rsidDel="00000000" w:rsidR="00000000" w:rsidRPr="00000000">
        <w:rPr>
          <w:u w:val="single"/>
          <w:rtl w:val="0"/>
        </w:rPr>
        <w:t xml:space="preserve">Ley 1257 de 2008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color w:val="222222"/>
          <w:highlight w:val="white"/>
          <w:rtl w:val="0"/>
        </w:rPr>
        <w:t xml:space="preserve">Por la cual se dictan normas de sensibilización, prevención y sanción de formas de violencia y discriminación contra las mujeres</w:t>
      </w:r>
    </w:p>
    <w:p w:rsidR="00000000" w:rsidDel="00000000" w:rsidP="00000000" w:rsidRDefault="00000000" w:rsidRPr="00000000" w14:paraId="00000010">
      <w:pPr>
        <w:keepLines w:val="1"/>
        <w:spacing w:after="0" w:before="0"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Lines w:val="1"/>
        <w:spacing w:after="0" w:before="0"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Auto 092 de 2008.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Adopta medidas para la protección de las mujeres víctimas de desplazamiento por el conflicto armado.</w:t>
      </w:r>
    </w:p>
    <w:p w:rsidR="00000000" w:rsidDel="00000000" w:rsidP="00000000" w:rsidRDefault="00000000" w:rsidRPr="00000000" w14:paraId="00000012">
      <w:pPr>
        <w:keepLines w:val="1"/>
        <w:spacing w:after="0" w:before="0"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Lines w:val="1"/>
        <w:spacing w:after="0" w:before="0"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Ley 1719 de 2014.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Para garantizar el acceso a la justicia de las mujeres víctimas de violencia sexual sobre todo en el marco del conflicto armado</w:t>
      </w:r>
    </w:p>
    <w:p w:rsidR="00000000" w:rsidDel="00000000" w:rsidP="00000000" w:rsidRDefault="00000000" w:rsidRPr="00000000" w14:paraId="00000014">
      <w:pPr>
        <w:keepLines w:val="1"/>
        <w:spacing w:after="0" w:before="0"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spacing w:after="0" w:before="0"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Ley 1761 de 2015.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Considera el asesinato de una mujer por su condición de mujer, como delito autónomo denominado feminicidio.</w:t>
      </w:r>
    </w:p>
    <w:p w:rsidR="00000000" w:rsidDel="00000000" w:rsidP="00000000" w:rsidRDefault="00000000" w:rsidRPr="00000000" w14:paraId="00000016">
      <w:pPr>
        <w:keepLines w:val="1"/>
        <w:spacing w:after="0" w:before="0"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Lines w:val="1"/>
        <w:spacing w:after="0" w:before="0" w:line="240" w:lineRule="auto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Resolución 1325</w:t>
      </w:r>
    </w:p>
    <w:p w:rsidR="00000000" w:rsidDel="00000000" w:rsidP="00000000" w:rsidRDefault="00000000" w:rsidRPr="00000000" w14:paraId="00000018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u w:val="single"/>
          <w:rtl w:val="0"/>
        </w:rPr>
        <w:t xml:space="preserve">Código Penal. Artículo 210 A.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Define el acoso sexual y sus manifestaciones, y  determina que la persona cause este daño incurrirá en prisión de 1 a 3 años.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Lines w:val="1"/>
        <w:spacing w:after="0" w:before="0" w:line="240" w:lineRule="auto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Plan TIC 2018-2022</w:t>
      </w:r>
    </w:p>
    <w:p w:rsidR="00000000" w:rsidDel="00000000" w:rsidP="00000000" w:rsidRDefault="00000000" w:rsidRPr="00000000" w14:paraId="00000026">
      <w:pPr>
        <w:keepLines w:val="1"/>
        <w:spacing w:after="0" w:before="0" w:line="240" w:lineRule="auto"/>
        <w:jc w:val="both"/>
        <w:rPr/>
      </w:pPr>
      <w:r w:rsidDel="00000000" w:rsidR="00000000" w:rsidRPr="00000000">
        <w:rPr>
          <w:rtl w:val="0"/>
        </w:rPr>
        <w:t xml:space="preserve">Con el fin de reducir las brechas digitales de género, propone la implementación del programa “Por TIC Mujer”, que busca empoderar a organizaciones y redes de mujeres en el uso y apropiación de las TIC a través del desarrollo de emprendimientos digitales. También incluye el Pacto Hackers Girls entre los sectores públicos, privados y académicos. Este pacto es un programa de educación, oportunidades laborales y emprendimiento en el área de la ciberseguridad, campo en el que la participación de la mujer es escasa. Finalmente, busca promover un diálogo y acciones concretas de intervención con enfoque diferencial étnico para promover la inclusión digital, a través de ejercicios de participación ciudadana y enfocado en radiodifusión sonora pública, televisión pública u generación de contenidos multiplataformas. </w:t>
      </w:r>
    </w:p>
    <w:p w:rsidR="00000000" w:rsidDel="00000000" w:rsidP="00000000" w:rsidRDefault="00000000" w:rsidRPr="00000000" w14:paraId="00000027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Lines w:val="1"/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[1]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http://www.redperiodistasgenero.org/implementacion-del-capitulo-j-de-la-plataforma-de-beijing-mujeres-medios-y-comunicacion-en-colombia-2020/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Lines w:val="1"/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[2]</w:t>
      </w:r>
      <w:r w:rsidDel="00000000" w:rsidR="00000000" w:rsidRPr="00000000">
        <w:rPr>
          <w:sz w:val="20"/>
          <w:szCs w:val="20"/>
          <w:rtl w:val="0"/>
        </w:rPr>
        <w:t xml:space="preserve"> Asamblea General de las Naciones Unidas (2006)</w:t>
      </w:r>
    </w:p>
    <w:p w:rsidR="00000000" w:rsidDel="00000000" w:rsidP="00000000" w:rsidRDefault="00000000" w:rsidRPr="00000000" w14:paraId="0000002D">
      <w:pPr>
        <w:keepLines w:val="1"/>
        <w:spacing w:after="0" w:before="0" w:line="240" w:lineRule="auto"/>
        <w:jc w:val="both"/>
        <w:rPr>
          <w:color w:val="1155cc"/>
          <w:sz w:val="20"/>
          <w:szCs w:val="20"/>
          <w:u w:val="single"/>
        </w:rPr>
      </w:pPr>
      <w:r w:rsidDel="00000000" w:rsidR="00000000" w:rsidRPr="00000000">
        <w:rPr>
          <w:sz w:val="20"/>
          <w:szCs w:val="20"/>
          <w:rtl w:val="0"/>
        </w:rPr>
        <w:t xml:space="preserve">[3]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https://lasillavacia.com/hagame-el-cruce/los-410-duenos-de-los-principales-medios-incluyendo-los-de-paraisos-fiscales-63175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spacing w:after="0" w:before="0" w:line="240" w:lineRule="auto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[4]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La Resolución 48/104 de 1993 de la Asamblea General Naciones Unidas, titulada “</w:t>
      </w:r>
      <w:hyperlink r:id="rId11">
        <w:r w:rsidDel="00000000" w:rsidR="00000000" w:rsidRPr="00000000">
          <w:rPr>
            <w:color w:val="2f80ed"/>
            <w:sz w:val="20"/>
            <w:szCs w:val="20"/>
            <w:highlight w:val="white"/>
            <w:u w:val="single"/>
            <w:rtl w:val="0"/>
          </w:rPr>
          <w:t xml:space="preserve">Declaración sobre la eliminación de la violencia contra la mujer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”</w:t>
      </w:r>
    </w:p>
    <w:p w:rsidR="00000000" w:rsidDel="00000000" w:rsidP="00000000" w:rsidRDefault="00000000" w:rsidRPr="00000000" w14:paraId="0000002F">
      <w:pPr>
        <w:keepLines w:val="1"/>
        <w:spacing w:after="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Lines w:val="1"/>
        <w:spacing w:after="0" w:before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ohchr.org/SP/ProfessionalInterest/Pages/ViolenceAgainstWomen.aspx" TargetMode="External"/><Relationship Id="rId10" Type="http://schemas.openxmlformats.org/officeDocument/2006/relationships/hyperlink" Target="https://lasillavacia.com/hagame-el-cruce/los-410-duenos-de-los-principales-medios-incluyendo-los-de-paraisos-fiscales-63175" TargetMode="External"/><Relationship Id="rId9" Type="http://schemas.openxmlformats.org/officeDocument/2006/relationships/hyperlink" Target="https://lasillavacia.com/hagame-el-cruce/los-410-duenos-de-los-principales-medios-incluyendo-los-de-paraisos-fiscales-63175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redperiodistasgenero.org/implementacion-del-capitulo-j-de-la-plataforma-de-beijing-mujeres-medios-y-comunicacion-en-colombia-20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